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F4" w:rsidRPr="000124F4" w:rsidRDefault="00AD7385" w:rsidP="00AD7385">
      <w:pPr>
        <w:tabs>
          <w:tab w:val="left" w:pos="216"/>
        </w:tabs>
        <w:spacing w:after="101" w:line="216" w:lineRule="exact"/>
        <w:ind w:left="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Anexo III. </w:t>
      </w:r>
      <w:r w:rsidR="000124F4" w:rsidRPr="000124F4">
        <w:rPr>
          <w:rFonts w:ascii="Arial" w:hAnsi="Arial" w:cs="Arial"/>
          <w:b/>
          <w:sz w:val="18"/>
          <w:szCs w:val="18"/>
        </w:rPr>
        <w:t>Tabla de Actualización y Conservación de la Información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124F4" w:rsidRPr="000124F4">
        <w:rPr>
          <w:rFonts w:ascii="Arial" w:hAnsi="Arial" w:cs="Arial"/>
          <w:b/>
          <w:sz w:val="18"/>
          <w:szCs w:val="18"/>
        </w:rPr>
        <w:t>Poder Legislativo Federal, de las Entidades Federativas y la Asamblea Legislativa del Distrito Federal</w:t>
      </w:r>
      <w:bookmarkStart w:id="0" w:name="_GoBack"/>
      <w:bookmarkEnd w:id="0"/>
    </w:p>
    <w:tbl>
      <w:tblPr>
        <w:tblW w:w="1069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2441"/>
        <w:gridCol w:w="1947"/>
        <w:gridCol w:w="2127"/>
        <w:gridCol w:w="2409"/>
      </w:tblGrid>
      <w:tr w:rsidR="000124F4" w:rsidRPr="000124F4" w:rsidTr="00AD7385">
        <w:trPr>
          <w:trHeight w:val="20"/>
          <w:tblHeader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sz w:val="16"/>
                <w:szCs w:val="18"/>
              </w:rPr>
              <w:t>Periodo de actualización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sz w:val="16"/>
                <w:szCs w:val="18"/>
              </w:rPr>
              <w:t>Observaciones acerca de la información a publicar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sz w:val="16"/>
                <w:szCs w:val="18"/>
              </w:rPr>
              <w:t>Periodo de Conservación de la información</w:t>
            </w:r>
          </w:p>
        </w:tc>
      </w:tr>
      <w:tr w:rsidR="000124F4" w:rsidRPr="000124F4" w:rsidTr="00AD7385">
        <w:trPr>
          <w:trHeight w:val="20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Artículo 72 </w:t>
            </w:r>
            <w:r w:rsidRPr="000124F4">
              <w:rPr>
                <w:rFonts w:ascii="Arial" w:hAnsi="Arial" w:cs="Arial"/>
                <w:sz w:val="16"/>
                <w:szCs w:val="18"/>
              </w:rPr>
              <w:t xml:space="preserve">Además de lo señalado en el artículo 70 de la presente Ley, los sujetos obligados de los Poderes Legislativos Federal, de las Entidades Federativas y </w:t>
            </w:r>
            <w:smartTag w:uri="urn:schemas-microsoft-com:office:smarttags" w:element="PersonName">
              <w:smartTagPr>
                <w:attr w:name="ProductID" w:val="la Asamblea Legislativa"/>
              </w:smartTagPr>
              <w:r w:rsidRPr="000124F4">
                <w:rPr>
                  <w:rFonts w:ascii="Arial" w:hAnsi="Arial" w:cs="Arial"/>
                  <w:sz w:val="16"/>
                  <w:szCs w:val="18"/>
                </w:rPr>
                <w:t>la Asamblea Legislativa</w:t>
              </w:r>
            </w:smartTag>
            <w:r w:rsidRPr="000124F4">
              <w:rPr>
                <w:rFonts w:ascii="Arial" w:hAnsi="Arial" w:cs="Arial"/>
                <w:sz w:val="16"/>
                <w:szCs w:val="18"/>
              </w:rPr>
              <w:t xml:space="preserve"> del Distrito Federal, deberán poner a disposición del público y actualizar la siguiente información: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 </w:t>
            </w:r>
            <w:r w:rsidRPr="000124F4">
              <w:rPr>
                <w:rFonts w:ascii="Arial" w:hAnsi="Arial" w:cs="Arial"/>
                <w:sz w:val="16"/>
                <w:szCs w:val="18"/>
              </w:rPr>
              <w:t>Agenda legislativa;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Por cada periodo ordinario de sesiones.</w:t>
            </w:r>
          </w:p>
          <w:p w:rsidR="000124F4" w:rsidRPr="000124F4" w:rsidRDefault="000124F4" w:rsidP="000124F4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En los casos que el marco normativo de cada congreso lo estipule, la agenda legislativa se presentará por cada año legislativo o de manera trianual.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Cuando la norma lo establezca, cada grupo parlamentario presentará una agenda propia, en otros casos, podrá presentarse una agenda común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Información vigente, la correspondiente a la legislatura en curso y, por lo menos, la correspondiente a tres legislaturas anteriores</w:t>
            </w:r>
          </w:p>
        </w:tc>
      </w:tr>
      <w:tr w:rsidR="000124F4" w:rsidRPr="000124F4" w:rsidTr="00AD7385">
        <w:trPr>
          <w:trHeight w:val="20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Artículo 72 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II 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t>Gaceta Parlamentaria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Por cada sesión de Pleno, de acuerdo a la normatividad de cada órgano legislativo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smartTag w:uri="urn:schemas-microsoft-com:office:smarttags" w:element="PersonName">
              <w:smartTagPr>
                <w:attr w:name="ProductID" w:val="la Gaceta Parlamentaria"/>
              </w:smartTagPr>
              <w:r w:rsidRPr="000124F4">
                <w:rPr>
                  <w:rFonts w:ascii="Arial" w:hAnsi="Arial" w:cs="Arial"/>
                  <w:sz w:val="16"/>
                  <w:szCs w:val="18"/>
                </w:rPr>
                <w:t>La Gaceta Parlamentaria</w:t>
              </w:r>
            </w:smartTag>
            <w:r w:rsidRPr="000124F4">
              <w:rPr>
                <w:rFonts w:ascii="Arial" w:hAnsi="Arial" w:cs="Arial"/>
                <w:sz w:val="16"/>
                <w:szCs w:val="18"/>
              </w:rPr>
              <w:t xml:space="preserve"> deberá estar disponible el día previo a la sesión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Información vigente, la correspondiente a la legislatura en curso y, por lo menos, la correspondiente a tres legislaturas anteriores</w:t>
            </w:r>
          </w:p>
        </w:tc>
      </w:tr>
      <w:tr w:rsidR="000124F4" w:rsidRPr="000124F4" w:rsidTr="00AD7385">
        <w:trPr>
          <w:trHeight w:val="20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Artículo 72 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III 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t>Orden del día;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Por cada Sesión de Pleno, de acuerdo a la normatividad de cada órgano legislativo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smartTag w:uri="urn:schemas-microsoft-com:office:smarttags" w:element="PersonName">
              <w:smartTagPr>
                <w:attr w:name="ProductID" w:val="la Gaceta Parlamentaria"/>
              </w:smartTagPr>
              <w:r w:rsidRPr="000124F4">
                <w:rPr>
                  <w:rFonts w:ascii="Arial" w:hAnsi="Arial" w:cs="Arial"/>
                  <w:sz w:val="16"/>
                  <w:szCs w:val="18"/>
                </w:rPr>
                <w:t>La Gaceta Parlamentaria</w:t>
              </w:r>
            </w:smartTag>
            <w:r w:rsidRPr="000124F4">
              <w:rPr>
                <w:rFonts w:ascii="Arial" w:hAnsi="Arial" w:cs="Arial"/>
                <w:sz w:val="16"/>
                <w:szCs w:val="18"/>
              </w:rPr>
              <w:t xml:space="preserve"> deberá estar disponible el día previo a la sesión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Información vigente, la correspondiente a la legislatura en curso y, por lo menos, la correspondiente a tres legislaturas anteriores</w:t>
            </w:r>
          </w:p>
        </w:tc>
      </w:tr>
      <w:tr w:rsidR="000124F4" w:rsidRPr="000124F4" w:rsidTr="00AD7385">
        <w:trPr>
          <w:trHeight w:val="20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2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Artículo 72 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2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IV 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t>El Diario de los Debates;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Por cada Sesión de Pleno, en un plazo no mayor a cinco días hábiles de que se haya llevado a cabo la sesión. La periodicidad con la que se lleven a cabo las sesiones deberá observarse en la normatividad de cada órgano legislativo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El Diario de los Debates deberá estar disponible el día posterior a la sesión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Información vigente, la correspondiente a la legislatura en curso y, por lo menos, la correspondiente a tres legislaturas anteriores</w:t>
            </w:r>
          </w:p>
        </w:tc>
      </w:tr>
      <w:tr w:rsidR="000124F4" w:rsidRPr="000124F4" w:rsidTr="00AD7385">
        <w:trPr>
          <w:trHeight w:val="20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>Artículo 72…</w:t>
            </w:r>
          </w:p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sz w:val="16"/>
                <w:szCs w:val="18"/>
              </w:rPr>
              <w:t>Fracción V</w:t>
            </w:r>
            <w:r w:rsidRPr="000124F4">
              <w:rPr>
                <w:rFonts w:ascii="Arial" w:hAnsi="Arial" w:cs="Arial"/>
                <w:sz w:val="16"/>
                <w:szCs w:val="18"/>
              </w:rPr>
              <w:br w:type="page"/>
            </w:r>
            <w:r w:rsidRPr="000124F4">
              <w:rPr>
                <w:rFonts w:ascii="Arial" w:hAnsi="Arial" w:cs="Arial"/>
                <w:sz w:val="16"/>
                <w:szCs w:val="18"/>
              </w:rPr>
              <w:br w:type="page"/>
              <w:t xml:space="preserve"> Las versiones estenográficas;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Quincenal. La periodicidad con la que se lleven a cabo las sesiones deberá observarse en la normatividad de cada órgano legislativo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Información vigente, la correspondiente a la legislatura en curso y, por lo menos, la correspondiente a tres legislaturas anteriores</w:t>
            </w:r>
          </w:p>
        </w:tc>
      </w:tr>
      <w:tr w:rsidR="000124F4" w:rsidRPr="000124F4" w:rsidTr="00AD7385">
        <w:trPr>
          <w:trHeight w:val="20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Artículo 72 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sz w:val="16"/>
                <w:szCs w:val="18"/>
              </w:rPr>
              <w:t xml:space="preserve">Fracción VI </w:t>
            </w:r>
            <w:r w:rsidRPr="000124F4">
              <w:rPr>
                <w:rFonts w:ascii="Arial" w:hAnsi="Arial" w:cs="Arial"/>
                <w:sz w:val="16"/>
                <w:szCs w:val="18"/>
              </w:rPr>
              <w:t>La asistencia de cada una de sus sesiones del Pleno y de las Comisiones y Comités;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Por cada sesión y reunión de comisiones, de acuerdo a la normatividad de cada órgano legislativo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La información deberá estar disponible el día posterior a cada sesión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Información vigente, la correspondiente a la legislatura en curso y, por lo menos, la correspondiente a tres legislaturas anteriores</w:t>
            </w:r>
          </w:p>
        </w:tc>
      </w:tr>
      <w:tr w:rsidR="000124F4" w:rsidRPr="000124F4" w:rsidTr="00AD7385">
        <w:trPr>
          <w:trHeight w:val="20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Artículo 72 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sz w:val="16"/>
                <w:szCs w:val="18"/>
              </w:rPr>
              <w:t xml:space="preserve">Fracción VII </w:t>
            </w:r>
            <w:r w:rsidRPr="000124F4">
              <w:rPr>
                <w:rFonts w:ascii="Arial" w:hAnsi="Arial" w:cs="Arial"/>
                <w:sz w:val="16"/>
                <w:szCs w:val="18"/>
              </w:rPr>
              <w:t>Las iniciativas de ley o decretos, puntos de acuerdo, la fecha en que se recibió, las Comisiones a las que se turnaron, y los dictámenes que, en su caso, recaigan sobre las mismas;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Por cada sesión de Pleno o de acuerdo a la normatividad de cada órgano legislativo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Los dictámenes deberán actualizarse en la plataforma en un plazo no mayor a 15 días hábiles a partir de su publicación en la Gaceta Parlamentaria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Información vigente, la correspondiente a la legislatura en curso y, por lo menos, la correspondiente a tres legislaturas anteriores</w:t>
            </w:r>
          </w:p>
        </w:tc>
      </w:tr>
      <w:tr w:rsidR="000124F4" w:rsidRPr="000124F4" w:rsidTr="00AD7385">
        <w:trPr>
          <w:trHeight w:val="20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 xml:space="preserve">Artículo 72 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>Fracción VIII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 w:rsidRPr="000124F4">
              <w:rPr>
                <w:rFonts w:ascii="Arial" w:hAnsi="Arial" w:cs="Arial"/>
                <w:sz w:val="16"/>
                <w:szCs w:val="18"/>
              </w:rPr>
              <w:t>Las leyes, decretos y acuerdos aprobados por el órgano legislativo;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Por cada sesión de Pleno, de acuerdo a la normatividad de cada órgano legislativo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Semanal y cuando se decrete, modifique o derogue cualquier norma, la información deberá actualizarse en un plazo no mayor a 15 días a partir de la publicación y/o aprobación de la norma.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Información vigente, la correspondiente a la legislatura en curso y, por lo menos, la correspondiente a tres legislaturas anteriores</w:t>
            </w:r>
          </w:p>
        </w:tc>
      </w:tr>
      <w:tr w:rsidR="000124F4" w:rsidRPr="000124F4" w:rsidTr="00AD7385">
        <w:trPr>
          <w:trHeight w:val="20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Artículo 72 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sz w:val="16"/>
                <w:szCs w:val="18"/>
              </w:rPr>
              <w:t xml:space="preserve">Fracción IX </w:t>
            </w:r>
            <w:r w:rsidRPr="000124F4">
              <w:rPr>
                <w:rFonts w:ascii="Arial" w:hAnsi="Arial" w:cs="Arial"/>
                <w:sz w:val="16"/>
                <w:szCs w:val="18"/>
              </w:rPr>
              <w:t>Las convocatorias, actas, acuerdos, listas de asistencia y votación de las comisiones y comités y de las sesiones del Pleno, identificando el sentido del voto, en votación económica, y por cada legislador, en la votación nominal y el resultado de la votación por cédula, así como votos particulares y reservas de los dictámenes y acuerdos sometidos a consideración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Por cada sesión de Pleno, de acuerdo a la normatividad de cada órgano legislativo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La información deberá estar disponible el día posterior a cada sesión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Información vigente, la correspondiente a la legislatura en curso y, por lo menos, la correspondiente a tres legislaturas anteriores</w:t>
            </w:r>
          </w:p>
        </w:tc>
      </w:tr>
      <w:tr w:rsidR="000124F4" w:rsidRPr="000124F4" w:rsidTr="00AD7385">
        <w:trPr>
          <w:trHeight w:val="20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>Artículo 72</w:t>
            </w:r>
          </w:p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>Fracción X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br w:type="page"/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br w:type="page"/>
              <w:t xml:space="preserve"> Las resoluciones definitivas sobre juicios políticos y declaratorias de procedencia;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Información vigente, la correspondiente a la legislatura en curso y, por lo menos, la de tres legislaturas anteriores</w:t>
            </w:r>
          </w:p>
        </w:tc>
      </w:tr>
      <w:tr w:rsidR="000124F4" w:rsidRPr="000124F4" w:rsidTr="00AD7385">
        <w:trPr>
          <w:trHeight w:val="20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Artículo 72 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XI 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t>Las versiones públicas de la información entregada en las audiencias públicas, comparecencias y en los procedimientos de designación, ratificación, elección, reelección o cualquier otro;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Trimestral</w:t>
            </w:r>
          </w:p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En el caso de los procedimientos de designación, ratificación, elección o reelección, deberá actualizarse cada fase del proceso en un plazo no mayor a 15 días hábiles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Información vigente, la correspondiente a la legislatura en curso y, por lo menos, la correspondiente a tres legislaturas anteriores</w:t>
            </w:r>
          </w:p>
        </w:tc>
      </w:tr>
      <w:tr w:rsidR="000124F4" w:rsidRPr="000124F4" w:rsidTr="00AD7385">
        <w:trPr>
          <w:trHeight w:val="20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Artículo 72 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XII 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t>Las contrataciones de servicios personales señalando el nombre del prestador del servicio, objeto, monto y vigencia del contrato de los órganos de gobierno, Comisiones, Comités, Grupos Parlamentarios y centros de estudio u órganos de investigación;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Información vigente, la correspondiente a la legislatura en curso y, por lo menos, la de tres legislaturas anteriores</w:t>
            </w:r>
          </w:p>
        </w:tc>
      </w:tr>
      <w:tr w:rsidR="000124F4" w:rsidRPr="000124F4" w:rsidTr="00AD7385">
        <w:trPr>
          <w:trHeight w:val="20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Artículo 72 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XIII 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t>El informe semestral del ejercicio presupuestal del uso y destino de los recursos financieros de los órganos de gobierno, Comisiones, Comités, Grupos Parlamentarios y centros de estudio u órganos de investigación;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El informe semestral se integrará con los 2 informes trimestrales previamente publicados para cada periodo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Información vigente, la correspondiente a la legislatura en curso y, por lo menos, la correspondiente a tres legislaturas anteriores</w:t>
            </w:r>
          </w:p>
        </w:tc>
      </w:tr>
      <w:tr w:rsidR="000124F4" w:rsidRPr="000124F4" w:rsidTr="00AD7385">
        <w:trPr>
          <w:trHeight w:val="20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Artículo 72 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XIV 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t>Los resultados de los estudios o investigaciones de naturaleza económica, política y social que realicen los centros de estudio o investigación legislativa, y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Información vigente, la correspondiente a la legislatura en curso y, por lo menos, la correspondiente a tres legislaturas anteriores</w:t>
            </w:r>
          </w:p>
        </w:tc>
      </w:tr>
      <w:tr w:rsidR="000124F4" w:rsidRPr="000124F4" w:rsidTr="00AD7385">
        <w:trPr>
          <w:trHeight w:val="20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>Artículo 72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124F4">
              <w:rPr>
                <w:rFonts w:ascii="Arial" w:hAnsi="Arial" w:cs="Arial"/>
                <w:b/>
                <w:i/>
                <w:sz w:val="16"/>
                <w:szCs w:val="18"/>
              </w:rPr>
              <w:t>Fracción XV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br w:type="page"/>
              <w:t xml:space="preserve"> El padrón de cabilderos, de acuerdo a la </w:t>
            </w:r>
            <w:r w:rsidRPr="000124F4">
              <w:rPr>
                <w:rFonts w:ascii="Arial" w:hAnsi="Arial" w:cs="Arial"/>
                <w:i/>
                <w:sz w:val="16"/>
                <w:szCs w:val="18"/>
              </w:rPr>
              <w:lastRenderedPageBreak/>
              <w:t>normatividad aplicable.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lastRenderedPageBreak/>
              <w:t>Semestral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F4" w:rsidRPr="000124F4" w:rsidRDefault="000124F4" w:rsidP="000124F4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24F4">
              <w:rPr>
                <w:rFonts w:ascii="Arial" w:hAnsi="Arial" w:cs="Arial"/>
                <w:sz w:val="16"/>
                <w:szCs w:val="18"/>
              </w:rPr>
              <w:t xml:space="preserve">Información vigente, la correspondiente a la legislatura </w:t>
            </w:r>
            <w:r w:rsidRPr="000124F4">
              <w:rPr>
                <w:rFonts w:ascii="Arial" w:hAnsi="Arial" w:cs="Arial"/>
                <w:sz w:val="16"/>
                <w:szCs w:val="18"/>
              </w:rPr>
              <w:lastRenderedPageBreak/>
              <w:t>en curso y, por lo menos, la correspondiente a tres legislaturas anteriores</w:t>
            </w:r>
          </w:p>
        </w:tc>
      </w:tr>
    </w:tbl>
    <w:p w:rsidR="000124F4" w:rsidRPr="000124F4" w:rsidRDefault="000124F4" w:rsidP="007D458A">
      <w:pPr>
        <w:pStyle w:val="texto0"/>
        <w:jc w:val="right"/>
        <w:rPr>
          <w:b/>
          <w:sz w:val="14"/>
          <w:szCs w:val="14"/>
          <w:lang w:val="es-ES"/>
        </w:rPr>
      </w:pPr>
    </w:p>
    <w:sectPr w:rsidR="000124F4" w:rsidRPr="000124F4" w:rsidSect="00AD7385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B7" w:rsidRDefault="00451BB7">
      <w:r>
        <w:separator/>
      </w:r>
    </w:p>
  </w:endnote>
  <w:endnote w:type="continuationSeparator" w:id="0">
    <w:p w:rsidR="00451BB7" w:rsidRDefault="0045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B7" w:rsidRDefault="00451BB7">
      <w:r>
        <w:separator/>
      </w:r>
    </w:p>
  </w:footnote>
  <w:footnote w:type="continuationSeparator" w:id="0">
    <w:p w:rsidR="00451BB7" w:rsidRDefault="0045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7A"/>
    <w:rsid w:val="00007D5B"/>
    <w:rsid w:val="000124F4"/>
    <w:rsid w:val="00012531"/>
    <w:rsid w:val="00023FDE"/>
    <w:rsid w:val="00025505"/>
    <w:rsid w:val="00030FA7"/>
    <w:rsid w:val="000468AF"/>
    <w:rsid w:val="00046AF3"/>
    <w:rsid w:val="00047AFF"/>
    <w:rsid w:val="00056789"/>
    <w:rsid w:val="00056D04"/>
    <w:rsid w:val="000643A3"/>
    <w:rsid w:val="00070076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31F5A"/>
    <w:rsid w:val="00140A5C"/>
    <w:rsid w:val="00145431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B1144"/>
    <w:rsid w:val="001B6981"/>
    <w:rsid w:val="001C1DC9"/>
    <w:rsid w:val="001E6CB1"/>
    <w:rsid w:val="001F09BB"/>
    <w:rsid w:val="001F6325"/>
    <w:rsid w:val="0020245C"/>
    <w:rsid w:val="002214D8"/>
    <w:rsid w:val="00234F7E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E5AEF"/>
    <w:rsid w:val="002F3942"/>
    <w:rsid w:val="002F6279"/>
    <w:rsid w:val="002F666A"/>
    <w:rsid w:val="0030321A"/>
    <w:rsid w:val="00306951"/>
    <w:rsid w:val="00313488"/>
    <w:rsid w:val="003137EF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6BA"/>
    <w:rsid w:val="00370AA5"/>
    <w:rsid w:val="00373DFE"/>
    <w:rsid w:val="0039202C"/>
    <w:rsid w:val="003958AA"/>
    <w:rsid w:val="003967FE"/>
    <w:rsid w:val="003A09A3"/>
    <w:rsid w:val="003B2214"/>
    <w:rsid w:val="003B46F2"/>
    <w:rsid w:val="003B64BC"/>
    <w:rsid w:val="003C010E"/>
    <w:rsid w:val="003C5EB9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40349"/>
    <w:rsid w:val="004404D8"/>
    <w:rsid w:val="00441280"/>
    <w:rsid w:val="0044530C"/>
    <w:rsid w:val="00451BB7"/>
    <w:rsid w:val="00453D17"/>
    <w:rsid w:val="0046400A"/>
    <w:rsid w:val="00464085"/>
    <w:rsid w:val="004652D9"/>
    <w:rsid w:val="00465E99"/>
    <w:rsid w:val="00475BE2"/>
    <w:rsid w:val="00490665"/>
    <w:rsid w:val="00491FF9"/>
    <w:rsid w:val="004A7426"/>
    <w:rsid w:val="004A7C4A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B667B"/>
    <w:rsid w:val="005C4019"/>
    <w:rsid w:val="005C75DE"/>
    <w:rsid w:val="005D3024"/>
    <w:rsid w:val="005D4388"/>
    <w:rsid w:val="005D7D14"/>
    <w:rsid w:val="005F4AC0"/>
    <w:rsid w:val="006231E1"/>
    <w:rsid w:val="00624530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4139"/>
    <w:rsid w:val="006777B9"/>
    <w:rsid w:val="00681BC5"/>
    <w:rsid w:val="00686752"/>
    <w:rsid w:val="00691836"/>
    <w:rsid w:val="0069357B"/>
    <w:rsid w:val="00697B7C"/>
    <w:rsid w:val="006A1855"/>
    <w:rsid w:val="006B7539"/>
    <w:rsid w:val="006B777A"/>
    <w:rsid w:val="006C30AE"/>
    <w:rsid w:val="006D2E40"/>
    <w:rsid w:val="006D6A8E"/>
    <w:rsid w:val="006E2487"/>
    <w:rsid w:val="006E4EE3"/>
    <w:rsid w:val="006E66EC"/>
    <w:rsid w:val="006F785A"/>
    <w:rsid w:val="0070415B"/>
    <w:rsid w:val="00705E7D"/>
    <w:rsid w:val="00710DAA"/>
    <w:rsid w:val="00717A6D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2E54"/>
    <w:rsid w:val="007C007D"/>
    <w:rsid w:val="007D00B8"/>
    <w:rsid w:val="007D0C3B"/>
    <w:rsid w:val="007D286A"/>
    <w:rsid w:val="007D458A"/>
    <w:rsid w:val="007F4B12"/>
    <w:rsid w:val="007F7EC9"/>
    <w:rsid w:val="00816C4D"/>
    <w:rsid w:val="0082677E"/>
    <w:rsid w:val="00827CE1"/>
    <w:rsid w:val="0083080F"/>
    <w:rsid w:val="008319F5"/>
    <w:rsid w:val="00832E88"/>
    <w:rsid w:val="0083749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A3527"/>
    <w:rsid w:val="008B541E"/>
    <w:rsid w:val="008B5BD2"/>
    <w:rsid w:val="008C46C1"/>
    <w:rsid w:val="008D06EA"/>
    <w:rsid w:val="008D17A5"/>
    <w:rsid w:val="008E293D"/>
    <w:rsid w:val="008E3292"/>
    <w:rsid w:val="008E35DF"/>
    <w:rsid w:val="008F5142"/>
    <w:rsid w:val="008F5A37"/>
    <w:rsid w:val="008F7015"/>
    <w:rsid w:val="008F7A18"/>
    <w:rsid w:val="00913D77"/>
    <w:rsid w:val="009167A0"/>
    <w:rsid w:val="009200A2"/>
    <w:rsid w:val="009329FB"/>
    <w:rsid w:val="00945F33"/>
    <w:rsid w:val="00947152"/>
    <w:rsid w:val="00956104"/>
    <w:rsid w:val="00960397"/>
    <w:rsid w:val="00975511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9F4E25"/>
    <w:rsid w:val="00A06B84"/>
    <w:rsid w:val="00A14996"/>
    <w:rsid w:val="00A31E9B"/>
    <w:rsid w:val="00A333DC"/>
    <w:rsid w:val="00A40BF0"/>
    <w:rsid w:val="00A53D31"/>
    <w:rsid w:val="00A7010C"/>
    <w:rsid w:val="00A73F8A"/>
    <w:rsid w:val="00A75FDA"/>
    <w:rsid w:val="00A76032"/>
    <w:rsid w:val="00A8099D"/>
    <w:rsid w:val="00A81D62"/>
    <w:rsid w:val="00A84922"/>
    <w:rsid w:val="00A8588B"/>
    <w:rsid w:val="00A90AE8"/>
    <w:rsid w:val="00A971BB"/>
    <w:rsid w:val="00A97FFB"/>
    <w:rsid w:val="00AA7550"/>
    <w:rsid w:val="00AB7088"/>
    <w:rsid w:val="00AC2AA2"/>
    <w:rsid w:val="00AD24D5"/>
    <w:rsid w:val="00AD54E0"/>
    <w:rsid w:val="00AD7385"/>
    <w:rsid w:val="00AE00D6"/>
    <w:rsid w:val="00AF0195"/>
    <w:rsid w:val="00B00632"/>
    <w:rsid w:val="00B073A2"/>
    <w:rsid w:val="00B120D5"/>
    <w:rsid w:val="00B14C29"/>
    <w:rsid w:val="00B16746"/>
    <w:rsid w:val="00B170E8"/>
    <w:rsid w:val="00B17DFA"/>
    <w:rsid w:val="00B22A78"/>
    <w:rsid w:val="00B27B8F"/>
    <w:rsid w:val="00B3769E"/>
    <w:rsid w:val="00B42611"/>
    <w:rsid w:val="00B63531"/>
    <w:rsid w:val="00B6543F"/>
    <w:rsid w:val="00B7008A"/>
    <w:rsid w:val="00B717B3"/>
    <w:rsid w:val="00B859B6"/>
    <w:rsid w:val="00B901CB"/>
    <w:rsid w:val="00BB1CCD"/>
    <w:rsid w:val="00BB26D3"/>
    <w:rsid w:val="00BF091C"/>
    <w:rsid w:val="00C009E0"/>
    <w:rsid w:val="00C01B5D"/>
    <w:rsid w:val="00C200DC"/>
    <w:rsid w:val="00C258E4"/>
    <w:rsid w:val="00C34E17"/>
    <w:rsid w:val="00C41610"/>
    <w:rsid w:val="00C5515A"/>
    <w:rsid w:val="00C563D2"/>
    <w:rsid w:val="00C709E8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2998"/>
    <w:rsid w:val="00CD6850"/>
    <w:rsid w:val="00CE06BF"/>
    <w:rsid w:val="00CF192D"/>
    <w:rsid w:val="00CF3B2E"/>
    <w:rsid w:val="00CF6193"/>
    <w:rsid w:val="00D04785"/>
    <w:rsid w:val="00D11F13"/>
    <w:rsid w:val="00D22347"/>
    <w:rsid w:val="00D265D1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159D4"/>
    <w:rsid w:val="00E164CF"/>
    <w:rsid w:val="00E21F6A"/>
    <w:rsid w:val="00E30B22"/>
    <w:rsid w:val="00E3798A"/>
    <w:rsid w:val="00E42835"/>
    <w:rsid w:val="00E460F3"/>
    <w:rsid w:val="00E50177"/>
    <w:rsid w:val="00E5027B"/>
    <w:rsid w:val="00E5626A"/>
    <w:rsid w:val="00E73272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28CDF9E-3594-48E1-97F5-B8FA796B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Textodeglobo1">
    <w:name w:val="Texto de globo1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do1">
    <w:name w:val="Saludo1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PuestoCar">
    <w:name w:val="Puesto Car"/>
    <w:link w:val="Puest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Textosinformato1">
    <w:name w:val="Texto sin formato1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independienteprimerasangra1">
    <w:name w:val="Texto independiente primera sangría1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Textoindependienteprimerasangra21">
    <w:name w:val="Texto independiente primera sangría 21"/>
    <w:basedOn w:val="Textoindependiente21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z-Principiodelformulario1">
    <w:name w:val="z-Principio del formulario1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D265D1"/>
    <w:rPr>
      <w:vertAlign w:val="superscript"/>
    </w:rPr>
  </w:style>
  <w:style w:type="paragraph" w:customStyle="1" w:styleId="Sumario">
    <w:name w:val="Sumario"/>
    <w:basedOn w:val="Normal"/>
    <w:rsid w:val="006A1855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6A1855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24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124F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B43A-4314-455D-93A6-037681F0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</TotalTime>
  <Pages>3</Pages>
  <Words>1079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IAIP-PNT</cp:lastModifiedBy>
  <cp:revision>3</cp:revision>
  <cp:lastPrinted>2016-05-10T16:08:00Z</cp:lastPrinted>
  <dcterms:created xsi:type="dcterms:W3CDTF">2016-09-22T13:37:00Z</dcterms:created>
  <dcterms:modified xsi:type="dcterms:W3CDTF">2016-09-22T13:41:00Z</dcterms:modified>
</cp:coreProperties>
</file>